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D3682F" w14:textId="77777777" w:rsidR="00D723D7" w:rsidRPr="00D723D7" w:rsidRDefault="002D0F3F">
      <w:pPr>
        <w:pStyle w:val="Heading1"/>
        <w:rPr>
          <w:sz w:val="48"/>
        </w:rPr>
      </w:pPr>
      <w:bookmarkStart w:id="0" w:name="_GoBack"/>
      <w:bookmarkEnd w:id="0"/>
      <w:r w:rsidRPr="00D723D7">
        <w:rPr>
          <w:sz w:val="48"/>
        </w:rPr>
        <w:t xml:space="preserve">Appropriate </w:t>
      </w:r>
      <w:r w:rsidR="00D723D7" w:rsidRPr="00D723D7">
        <w:rPr>
          <w:sz w:val="48"/>
        </w:rPr>
        <w:t>Monitoring</w:t>
      </w:r>
      <w:r w:rsidRPr="00D723D7">
        <w:rPr>
          <w:sz w:val="48"/>
        </w:rPr>
        <w:t xml:space="preserve"> for </w:t>
      </w:r>
      <w:r w:rsidR="00D723D7" w:rsidRPr="00D723D7">
        <w:rPr>
          <w:sz w:val="48"/>
        </w:rPr>
        <w:t>Schools</w:t>
      </w:r>
    </w:p>
    <w:p w14:paraId="5A50ADE3" w14:textId="576C220A" w:rsidR="00DB2F5E" w:rsidRDefault="00FD1F32">
      <w:pPr>
        <w:pStyle w:val="Heading1"/>
      </w:pPr>
      <w:r>
        <w:t>June 202</w:t>
      </w:r>
      <w:r w:rsidR="007D1B54">
        <w:t>2</w:t>
      </w:r>
      <w:r w:rsidR="002D0F3F">
        <w:rPr>
          <w:noProof/>
        </w:rPr>
        <w:drawing>
          <wp:anchor distT="0" distB="0" distL="114300" distR="114300" simplePos="0" relativeHeight="251658240" behindDoc="0" locked="0" layoutInCell="0" hidden="0" allowOverlap="0" wp14:anchorId="55592949" wp14:editId="5891C889">
            <wp:simplePos x="0" y="0"/>
            <wp:positionH relativeFrom="margin">
              <wp:posOffset>4905375</wp:posOffset>
            </wp:positionH>
            <wp:positionV relativeFrom="paragraph">
              <wp:posOffset>-457199</wp:posOffset>
            </wp:positionV>
            <wp:extent cx="742950" cy="10668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2BBCFF" w14:textId="77777777" w:rsidR="004E52EC" w:rsidRDefault="00751785">
      <w:pPr>
        <w:pStyle w:val="Heading1"/>
      </w:pPr>
      <w:r>
        <w:t xml:space="preserve">Monitoring </w:t>
      </w:r>
      <w:r w:rsidR="0028782B">
        <w:t xml:space="preserve">Provider Checklist </w:t>
      </w:r>
      <w:r w:rsidR="00B0274F">
        <w:t>Reponses</w:t>
      </w:r>
    </w:p>
    <w:p w14:paraId="7CFE732D" w14:textId="77777777" w:rsidR="004E52EC" w:rsidRDefault="004E52EC"/>
    <w:p w14:paraId="48957ECE" w14:textId="20E3DFAD" w:rsidR="00A029DD" w:rsidRDefault="00A029DD" w:rsidP="00A029DD">
      <w:r>
        <w:t>Schools (and registered childcare providers) in England and Wales are required “to ensure children are safe from terrorist and extremist material when accessing the internet in school, including by establishing a</w:t>
      </w:r>
      <w:r w:rsidR="00497A24">
        <w:t>ppropriate levels of filtering”</w:t>
      </w:r>
      <w:r>
        <w:t>.  Furthermore, it expects that they “assess the risk of [their] children being drawn into terrorism, including support for extremist ideas that are part of terrorist ideology”.  There are a number of self review systems (eg www.360safe.org.uk) that will support a school in assessing their wider online safety policy and practice.</w:t>
      </w:r>
    </w:p>
    <w:p w14:paraId="2A2E8F9C" w14:textId="7B08C562" w:rsidR="00A029DD" w:rsidRDefault="00A029DD" w:rsidP="00A029DD">
      <w:r>
        <w:t>The Department for Education’s statutory guidance ‘Keeping Children Safe in Education’   obliges schools and colleges in England to “ensure appropriate filters and appropriate monitoring systems are in place</w:t>
      </w:r>
      <w:r w:rsidR="005F0AF4">
        <w:rPr>
          <w:i/>
        </w:rPr>
        <w:t>” and they “</w:t>
      </w:r>
      <w:r w:rsidR="005F0AF4" w:rsidRPr="00E62FDC">
        <w:rPr>
          <w:i/>
        </w:rPr>
        <w:t>should be doing all that they reasonably can to limit</w:t>
      </w:r>
      <w:r w:rsidR="005F0AF4">
        <w:rPr>
          <w:i/>
        </w:rPr>
        <w:t xml:space="preserve"> </w:t>
      </w:r>
      <w:r w:rsidR="005F0AF4" w:rsidRPr="00E62FDC">
        <w:rPr>
          <w:i/>
        </w:rPr>
        <w:t>children’s exposure to the above risks from the school’s or college’s IT system</w:t>
      </w:r>
      <w:r>
        <w:t>” however, schools will need to “be careful that “over blocking” does not lead to unreasonable restrictions as to what children can be taught with regards to online teaching and safeguarding.”</w:t>
      </w:r>
    </w:p>
    <w:p w14:paraId="5748274A" w14:textId="77777777" w:rsidR="004E52EC" w:rsidRDefault="00D723D7" w:rsidP="00A029DD">
      <w:r>
        <w:lastRenderedPageBreak/>
        <w:t>By completing all fields and returning to UK Safer Internet Centre (</w:t>
      </w:r>
      <w:hyperlink r:id="rId8" w:history="1">
        <w:r w:rsidRPr="00E301D9">
          <w:rPr>
            <w:rStyle w:val="Hyperlink"/>
          </w:rPr>
          <w:t>enquiries@saferinternet.org.uk</w:t>
        </w:r>
      </w:hyperlink>
      <w:r>
        <w:t>), t</w:t>
      </w:r>
      <w:r w:rsidR="002D0F3F">
        <w:t xml:space="preserve">he aim of this document is to help </w:t>
      </w:r>
      <w:r>
        <w:t>monitoring</w:t>
      </w:r>
      <w:r w:rsidR="00DB2F5E">
        <w:t xml:space="preserve"> providers to illustrate to </w:t>
      </w:r>
      <w:r>
        <w:t xml:space="preserve">schools </w:t>
      </w:r>
      <w:r w:rsidR="00DB2F5E">
        <w:t xml:space="preserve">how their particular </w:t>
      </w:r>
      <w:r>
        <w:t xml:space="preserve">technology </w:t>
      </w:r>
      <w:r w:rsidR="00DB2F5E">
        <w:t xml:space="preserve">system(s) meets the national defined ‘appropriate </w:t>
      </w:r>
      <w:r>
        <w:t>monitoring’</w:t>
      </w:r>
      <w:r w:rsidR="00DB2F5E">
        <w:t xml:space="preserve"> standards</w:t>
      </w:r>
      <w:r w:rsidR="002D0F3F">
        <w:t>.</w:t>
      </w:r>
      <w:r>
        <w:t xml:space="preserve">  Fully completed forms will be hosted on the UK Safer Internet Centre website alongside the definitions</w:t>
      </w:r>
    </w:p>
    <w:p w14:paraId="06183700" w14:textId="77777777" w:rsidR="004E52EC" w:rsidRDefault="00D723D7">
      <w:r w:rsidRPr="00D723D7">
        <w:t xml:space="preserve">The </w:t>
      </w:r>
      <w:r>
        <w:t>results will help schools better assess</w:t>
      </w:r>
      <w:r w:rsidRPr="00D723D7">
        <w:t xml:space="preserve">, in conjunction with their completed risk assessment, </w:t>
      </w:r>
      <w:r>
        <w:t xml:space="preserve">if the monitoring system is </w:t>
      </w:r>
      <w:r w:rsidRPr="00D723D7">
        <w:t xml:space="preserve">‘appropriate’ </w:t>
      </w:r>
      <w:r>
        <w:t>for them</w:t>
      </w:r>
      <w:r w:rsidRPr="00D723D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D4E31" w14:paraId="004B5806" w14:textId="77777777" w:rsidTr="00CD4E31">
        <w:tc>
          <w:tcPr>
            <w:tcW w:w="2689" w:type="dxa"/>
          </w:tcPr>
          <w:p w14:paraId="6A02AACD" w14:textId="77777777" w:rsidR="00CD4E31" w:rsidRDefault="00CD4E31">
            <w:r>
              <w:t>Company / Organisation</w:t>
            </w:r>
          </w:p>
        </w:tc>
        <w:tc>
          <w:tcPr>
            <w:tcW w:w="6327" w:type="dxa"/>
          </w:tcPr>
          <w:p w14:paraId="035F7655" w14:textId="77777777" w:rsidR="00CD4E31" w:rsidRDefault="00CD4E31"/>
        </w:tc>
      </w:tr>
      <w:tr w:rsidR="0028782B" w14:paraId="2F5253EC" w14:textId="77777777" w:rsidTr="00CD4E31">
        <w:tc>
          <w:tcPr>
            <w:tcW w:w="2689" w:type="dxa"/>
          </w:tcPr>
          <w:p w14:paraId="657C9A0C" w14:textId="77777777" w:rsidR="0028782B" w:rsidRDefault="0028782B">
            <w:r>
              <w:t>Address</w:t>
            </w:r>
          </w:p>
        </w:tc>
        <w:tc>
          <w:tcPr>
            <w:tcW w:w="6327" w:type="dxa"/>
          </w:tcPr>
          <w:p w14:paraId="782E9D38" w14:textId="77777777" w:rsidR="0028782B" w:rsidRDefault="0028782B"/>
        </w:tc>
      </w:tr>
      <w:tr w:rsidR="0028782B" w14:paraId="091603E2" w14:textId="77777777" w:rsidTr="00CD4E31">
        <w:tc>
          <w:tcPr>
            <w:tcW w:w="2689" w:type="dxa"/>
          </w:tcPr>
          <w:p w14:paraId="046A51D7" w14:textId="77777777" w:rsidR="0028782B" w:rsidRDefault="0028782B" w:rsidP="0028782B">
            <w:r>
              <w:t>Contact details</w:t>
            </w:r>
          </w:p>
        </w:tc>
        <w:tc>
          <w:tcPr>
            <w:tcW w:w="6327" w:type="dxa"/>
          </w:tcPr>
          <w:p w14:paraId="7DD2550E" w14:textId="77777777" w:rsidR="0028782B" w:rsidRDefault="0028782B"/>
        </w:tc>
      </w:tr>
      <w:tr w:rsidR="00CD4E31" w14:paraId="069172E5" w14:textId="77777777" w:rsidTr="00CD4E31">
        <w:tc>
          <w:tcPr>
            <w:tcW w:w="2689" w:type="dxa"/>
          </w:tcPr>
          <w:p w14:paraId="2C9FAA14" w14:textId="6108BBF9" w:rsidR="00CD4E31" w:rsidRDefault="0031082F">
            <w:r>
              <w:t xml:space="preserve">Monitoring </w:t>
            </w:r>
            <w:r w:rsidR="00CD4E31">
              <w:t xml:space="preserve">System </w:t>
            </w:r>
          </w:p>
        </w:tc>
        <w:tc>
          <w:tcPr>
            <w:tcW w:w="6327" w:type="dxa"/>
          </w:tcPr>
          <w:p w14:paraId="044C84DB" w14:textId="77777777" w:rsidR="00CD4E31" w:rsidRDefault="00CD4E31"/>
        </w:tc>
      </w:tr>
      <w:tr w:rsidR="00CD4E31" w14:paraId="3D8CF026" w14:textId="77777777" w:rsidTr="00CD4E31">
        <w:tc>
          <w:tcPr>
            <w:tcW w:w="2689" w:type="dxa"/>
          </w:tcPr>
          <w:p w14:paraId="14F16A8D" w14:textId="77777777" w:rsidR="00CD4E31" w:rsidRDefault="00CD4E31">
            <w:r>
              <w:t>Date of assessment</w:t>
            </w:r>
          </w:p>
        </w:tc>
        <w:tc>
          <w:tcPr>
            <w:tcW w:w="6327" w:type="dxa"/>
          </w:tcPr>
          <w:p w14:paraId="0C914EE9" w14:textId="77777777" w:rsidR="00CD4E31" w:rsidRDefault="00CD4E31"/>
        </w:tc>
      </w:tr>
    </w:tbl>
    <w:p w14:paraId="62E5C1C9" w14:textId="77777777" w:rsidR="00CD4E31" w:rsidRDefault="00CD4E31"/>
    <w:p w14:paraId="23483003" w14:textId="77777777" w:rsidR="00D723D7" w:rsidRDefault="00604FFB">
      <w:r>
        <w:t>System Rating</w:t>
      </w:r>
      <w:r w:rsidR="0028782B">
        <w:t xml:space="preserve">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B0274F" w:rsidRPr="0028782B" w14:paraId="2B06DFAA" w14:textId="77777777" w:rsidTr="00B0274F">
        <w:tc>
          <w:tcPr>
            <w:tcW w:w="7508" w:type="dxa"/>
          </w:tcPr>
          <w:p w14:paraId="23669D76" w14:textId="77777777" w:rsidR="00B0274F" w:rsidRPr="0028782B" w:rsidRDefault="00B0274F" w:rsidP="00B0274F">
            <w:r w:rsidRPr="0028782B">
              <w:t>Where a supplier is able to confirm that their service fully meets the issue identified in a specific checklist the appropriate self-certification colour for that question is GREEN.</w:t>
            </w:r>
          </w:p>
        </w:tc>
        <w:tc>
          <w:tcPr>
            <w:tcW w:w="1508" w:type="dxa"/>
            <w:shd w:val="clear" w:color="auto" w:fill="70AD47" w:themeFill="accent6"/>
          </w:tcPr>
          <w:p w14:paraId="32B37E73" w14:textId="77777777" w:rsidR="00B0274F" w:rsidRPr="0028782B" w:rsidRDefault="00B0274F" w:rsidP="00B0274F"/>
        </w:tc>
      </w:tr>
      <w:tr w:rsidR="00B0274F" w:rsidRPr="0028782B" w14:paraId="2635E0A3" w14:textId="77777777" w:rsidTr="00B0274F">
        <w:tc>
          <w:tcPr>
            <w:tcW w:w="7508" w:type="dxa"/>
          </w:tcPr>
          <w:p w14:paraId="41BF4716" w14:textId="77777777" w:rsidR="00B0274F" w:rsidRPr="0028782B" w:rsidRDefault="00B0274F" w:rsidP="00B0274F">
            <w:r w:rsidRPr="0028782B">
              <w:t>Where a supplier is not able to confirm that their service fully meets the issue identified in</w:t>
            </w:r>
            <w:r>
              <w:t xml:space="preserve"> a specific checklist question </w:t>
            </w:r>
            <w:r w:rsidRPr="0028782B">
              <w:t xml:space="preserve">the appropriate self-certification colour for that question is AMBER. </w:t>
            </w:r>
          </w:p>
        </w:tc>
        <w:tc>
          <w:tcPr>
            <w:tcW w:w="1508" w:type="dxa"/>
            <w:shd w:val="clear" w:color="auto" w:fill="FFC000"/>
          </w:tcPr>
          <w:p w14:paraId="6216F806" w14:textId="77777777" w:rsidR="00B0274F" w:rsidRPr="0028782B" w:rsidRDefault="00B0274F" w:rsidP="00B0274F"/>
        </w:tc>
      </w:tr>
    </w:tbl>
    <w:p w14:paraId="7BF79A9D" w14:textId="77777777" w:rsidR="00430617" w:rsidRDefault="00430617">
      <w:pPr>
        <w:pStyle w:val="Heading2"/>
      </w:pPr>
    </w:p>
    <w:p w14:paraId="64F36B39" w14:textId="77777777" w:rsidR="00430617" w:rsidRDefault="00430617" w:rsidP="00430617">
      <w:pPr>
        <w:rPr>
          <w:color w:val="5B9BD5"/>
          <w:sz w:val="26"/>
          <w:szCs w:val="26"/>
        </w:rPr>
      </w:pPr>
      <w:r>
        <w:br w:type="page"/>
      </w:r>
    </w:p>
    <w:p w14:paraId="69656304" w14:textId="77777777" w:rsidR="004E52EC" w:rsidRDefault="00430617">
      <w:pPr>
        <w:pStyle w:val="Heading2"/>
      </w:pPr>
      <w:r>
        <w:lastRenderedPageBreak/>
        <w:t xml:space="preserve">Monitoring </w:t>
      </w:r>
      <w:r w:rsidR="002D0F3F">
        <w:t>Content</w:t>
      </w:r>
    </w:p>
    <w:p w14:paraId="71946D36" w14:textId="77777777" w:rsidR="004E52EC" w:rsidRDefault="00430617">
      <w:r>
        <w:t>Monitoring</w:t>
      </w:r>
      <w:r w:rsidR="00CD4E31">
        <w:t xml:space="preserve"> p</w:t>
      </w:r>
      <w:r w:rsidR="00DB2F5E">
        <w:t>roviders</w:t>
      </w:r>
      <w:r w:rsidR="002D0F3F">
        <w:t xml:space="preserve"> should ensure </w:t>
      </w:r>
      <w:r>
        <w:t>that they</w:t>
      </w:r>
      <w:r w:rsidR="002D0F3F">
        <w:t>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992"/>
        <w:gridCol w:w="3209"/>
      </w:tblGrid>
      <w:tr w:rsidR="00B0274F" w:rsidRPr="00CD4E31" w14:paraId="78EA7C35" w14:textId="77777777" w:rsidTr="00B0274F">
        <w:tc>
          <w:tcPr>
            <w:tcW w:w="4962" w:type="dxa"/>
            <w:shd w:val="clear" w:color="auto" w:fill="D0CECE" w:themeFill="background2" w:themeFillShade="E6"/>
          </w:tcPr>
          <w:p w14:paraId="662EABDF" w14:textId="77777777" w:rsidR="00B0274F" w:rsidRDefault="00B0274F" w:rsidP="00B0274F">
            <w:r>
              <w:t>Aspect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7848293" w14:textId="77777777" w:rsidR="00B0274F" w:rsidRDefault="00604FFB" w:rsidP="00B0274F">
            <w:r>
              <w:t>Rating</w:t>
            </w:r>
          </w:p>
        </w:tc>
        <w:tc>
          <w:tcPr>
            <w:tcW w:w="3209" w:type="dxa"/>
            <w:shd w:val="clear" w:color="auto" w:fill="D0CECE" w:themeFill="background2" w:themeFillShade="E6"/>
          </w:tcPr>
          <w:p w14:paraId="2191FED9" w14:textId="77777777" w:rsidR="00B0274F" w:rsidRDefault="00B0274F" w:rsidP="00B0274F">
            <w:r>
              <w:t>Explanation</w:t>
            </w:r>
          </w:p>
        </w:tc>
      </w:tr>
      <w:tr w:rsidR="00B0274F" w:rsidRPr="00CD4E31" w14:paraId="2CEC7BA5" w14:textId="77777777" w:rsidTr="00B0274F">
        <w:tc>
          <w:tcPr>
            <w:tcW w:w="4962" w:type="dxa"/>
          </w:tcPr>
          <w:p w14:paraId="56ABF1FE" w14:textId="77777777" w:rsidR="00B0274F" w:rsidRPr="00CD4E31" w:rsidRDefault="00B0274F" w:rsidP="00B0274F">
            <w:pPr>
              <w:numPr>
                <w:ilvl w:val="0"/>
                <w:numId w:val="1"/>
              </w:numPr>
              <w:ind w:hanging="360"/>
              <w:contextualSpacing/>
            </w:pPr>
            <w:r>
              <w:t>Are IWF members</w:t>
            </w:r>
          </w:p>
        </w:tc>
        <w:tc>
          <w:tcPr>
            <w:tcW w:w="992" w:type="dxa"/>
          </w:tcPr>
          <w:p w14:paraId="1D6F771D" w14:textId="77777777" w:rsidR="00B0274F" w:rsidRDefault="00B0274F" w:rsidP="00B0274F">
            <w:pPr>
              <w:ind w:left="360"/>
              <w:contextualSpacing/>
            </w:pPr>
          </w:p>
        </w:tc>
        <w:tc>
          <w:tcPr>
            <w:tcW w:w="3209" w:type="dxa"/>
          </w:tcPr>
          <w:p w14:paraId="58396535" w14:textId="77777777" w:rsidR="00B0274F" w:rsidRDefault="00B0274F" w:rsidP="00B0274F">
            <w:pPr>
              <w:ind w:left="360"/>
              <w:contextualSpacing/>
            </w:pPr>
          </w:p>
        </w:tc>
      </w:tr>
      <w:tr w:rsidR="00A84667" w:rsidRPr="00CD4E31" w14:paraId="3715851D" w14:textId="77777777" w:rsidTr="00B0274F">
        <w:tc>
          <w:tcPr>
            <w:tcW w:w="4962" w:type="dxa"/>
          </w:tcPr>
          <w:p w14:paraId="49C86C86" w14:textId="4E4CB145" w:rsidR="00A84667" w:rsidRDefault="00A84667" w:rsidP="005F0AF4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Utilisation of IWF </w:t>
            </w:r>
            <w:r w:rsidR="005F0AF4">
              <w:t xml:space="preserve">URL </w:t>
            </w:r>
            <w:r>
              <w:t xml:space="preserve">list </w:t>
            </w:r>
            <w:r w:rsidR="005F0AF4">
              <w:t>for</w:t>
            </w:r>
            <w:r>
              <w:t xml:space="preserve"> the </w:t>
            </w:r>
            <w:r w:rsidR="005F0AF4">
              <w:t>attempted access</w:t>
            </w:r>
            <w:r>
              <w:t xml:space="preserve"> of known child abuse images</w:t>
            </w:r>
          </w:p>
        </w:tc>
        <w:tc>
          <w:tcPr>
            <w:tcW w:w="992" w:type="dxa"/>
          </w:tcPr>
          <w:p w14:paraId="28F83F2A" w14:textId="77777777" w:rsidR="00A84667" w:rsidRPr="00CD4E31" w:rsidRDefault="00A84667" w:rsidP="00B0274F">
            <w:pPr>
              <w:ind w:left="360"/>
              <w:contextualSpacing/>
            </w:pPr>
          </w:p>
        </w:tc>
        <w:tc>
          <w:tcPr>
            <w:tcW w:w="3209" w:type="dxa"/>
          </w:tcPr>
          <w:p w14:paraId="569BEE65" w14:textId="77777777" w:rsidR="00A84667" w:rsidRPr="00CD4E31" w:rsidRDefault="00A84667" w:rsidP="00B0274F">
            <w:pPr>
              <w:ind w:left="360"/>
              <w:contextualSpacing/>
            </w:pPr>
          </w:p>
        </w:tc>
      </w:tr>
      <w:tr w:rsidR="00B0274F" w:rsidRPr="00CD4E31" w14:paraId="1A8E3A15" w14:textId="77777777" w:rsidTr="00B0274F">
        <w:tc>
          <w:tcPr>
            <w:tcW w:w="4962" w:type="dxa"/>
          </w:tcPr>
          <w:p w14:paraId="0750372C" w14:textId="77777777" w:rsidR="00B0274F" w:rsidRPr="00CD4E31" w:rsidRDefault="009813DA" w:rsidP="00B0274F">
            <w:pPr>
              <w:numPr>
                <w:ilvl w:val="0"/>
                <w:numId w:val="1"/>
              </w:numPr>
              <w:ind w:hanging="360"/>
              <w:contextualSpacing/>
            </w:pPr>
            <w:bookmarkStart w:id="1" w:name="h.gjdgxs" w:colFirst="0" w:colLast="0"/>
            <w:bookmarkEnd w:id="1"/>
            <w:r>
              <w:t>Work with CTIRU</w:t>
            </w:r>
            <w:r w:rsidR="00B0274F" w:rsidRPr="00CD4E31">
              <w:t xml:space="preserve"> ‘the police assessed list of unlawful terrorist content, produced on behalf of the Home Office’</w:t>
            </w:r>
          </w:p>
        </w:tc>
        <w:tc>
          <w:tcPr>
            <w:tcW w:w="992" w:type="dxa"/>
          </w:tcPr>
          <w:p w14:paraId="2B613860" w14:textId="77777777" w:rsidR="00B0274F" w:rsidRPr="00CD4E31" w:rsidRDefault="00B0274F" w:rsidP="00B0274F">
            <w:pPr>
              <w:ind w:left="360"/>
              <w:contextualSpacing/>
            </w:pPr>
          </w:p>
        </w:tc>
        <w:tc>
          <w:tcPr>
            <w:tcW w:w="3209" w:type="dxa"/>
          </w:tcPr>
          <w:p w14:paraId="4BBC86DA" w14:textId="77777777" w:rsidR="00B0274F" w:rsidRPr="00CD4E31" w:rsidRDefault="00B0274F" w:rsidP="00B0274F">
            <w:pPr>
              <w:ind w:left="360"/>
              <w:contextualSpacing/>
            </w:pPr>
          </w:p>
        </w:tc>
      </w:tr>
    </w:tbl>
    <w:p w14:paraId="5D56E5C9" w14:textId="77777777" w:rsidR="004E52EC" w:rsidRDefault="002D0F3F">
      <w:pPr>
        <w:pStyle w:val="Heading2"/>
      </w:pPr>
      <w:r>
        <w:t>Inappropriate Online Content</w:t>
      </w:r>
    </w:p>
    <w:p w14:paraId="69BA25A9" w14:textId="77777777" w:rsidR="004E52EC" w:rsidRDefault="00430617">
      <w:r>
        <w:t xml:space="preserve">Monitoring </w:t>
      </w:r>
      <w:r w:rsidR="00CD4E31">
        <w:t xml:space="preserve">providers should both confirm, and describe how, their system </w:t>
      </w:r>
      <w:r w:rsidR="007D6FD4">
        <w:t>monitors/</w:t>
      </w:r>
      <w:r w:rsidR="002D0F3F">
        <w:t>manages the following content</w:t>
      </w:r>
    </w:p>
    <w:tbl>
      <w:tblPr>
        <w:tblStyle w:val="a"/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3380"/>
        <w:gridCol w:w="992"/>
        <w:gridCol w:w="3260"/>
      </w:tblGrid>
      <w:tr w:rsidR="00CD4E31" w14:paraId="6E9BA2FD" w14:textId="77777777" w:rsidTr="00742735">
        <w:tc>
          <w:tcPr>
            <w:tcW w:w="1550" w:type="dxa"/>
            <w:shd w:val="clear" w:color="auto" w:fill="CCCCCC"/>
          </w:tcPr>
          <w:p w14:paraId="2543B5D7" w14:textId="77777777" w:rsidR="00CD4E31" w:rsidRDefault="00CD4E31">
            <w:r>
              <w:t>Content</w:t>
            </w:r>
          </w:p>
        </w:tc>
        <w:tc>
          <w:tcPr>
            <w:tcW w:w="3380" w:type="dxa"/>
            <w:shd w:val="clear" w:color="auto" w:fill="CCCCCC"/>
          </w:tcPr>
          <w:p w14:paraId="31A3ACBB" w14:textId="77777777" w:rsidR="00CD4E31" w:rsidRDefault="00CD4E31">
            <w:r>
              <w:t>Explanatory notes – Content that:</w:t>
            </w:r>
          </w:p>
        </w:tc>
        <w:tc>
          <w:tcPr>
            <w:tcW w:w="992" w:type="dxa"/>
            <w:shd w:val="clear" w:color="auto" w:fill="CCCCCC"/>
          </w:tcPr>
          <w:p w14:paraId="6F26618A" w14:textId="77777777" w:rsidR="00CD4E31" w:rsidRDefault="001310BA">
            <w:r>
              <w:t>Rating</w:t>
            </w:r>
          </w:p>
        </w:tc>
        <w:tc>
          <w:tcPr>
            <w:tcW w:w="3260" w:type="dxa"/>
            <w:shd w:val="clear" w:color="auto" w:fill="CCCCCC"/>
          </w:tcPr>
          <w:p w14:paraId="2E78E2A5" w14:textId="77777777" w:rsidR="00CD4E31" w:rsidRDefault="00CD4E31" w:rsidP="00B0274F">
            <w:pPr>
              <w:tabs>
                <w:tab w:val="left" w:pos="2037"/>
              </w:tabs>
            </w:pPr>
            <w:r>
              <w:t>Explanation</w:t>
            </w:r>
            <w:r w:rsidR="00B0274F">
              <w:tab/>
            </w:r>
          </w:p>
        </w:tc>
      </w:tr>
      <w:tr w:rsidR="00430617" w14:paraId="4A1DB50A" w14:textId="77777777" w:rsidTr="00742735">
        <w:tc>
          <w:tcPr>
            <w:tcW w:w="1550" w:type="dxa"/>
          </w:tcPr>
          <w:p w14:paraId="63C8B5F3" w14:textId="77777777" w:rsidR="00430617" w:rsidRDefault="00430617" w:rsidP="00430617">
            <w:r>
              <w:t>Illegal</w:t>
            </w:r>
          </w:p>
        </w:tc>
        <w:tc>
          <w:tcPr>
            <w:tcW w:w="3380" w:type="dxa"/>
          </w:tcPr>
          <w:p w14:paraId="25F916CD" w14:textId="77777777" w:rsidR="00430617" w:rsidRDefault="00430617">
            <w:r>
              <w:t>content that is illegal, for example child abuse images and unlawful terrorist content</w:t>
            </w:r>
          </w:p>
        </w:tc>
        <w:tc>
          <w:tcPr>
            <w:tcW w:w="992" w:type="dxa"/>
          </w:tcPr>
          <w:p w14:paraId="5FEC830C" w14:textId="77777777" w:rsidR="00430617" w:rsidRDefault="00430617"/>
        </w:tc>
        <w:tc>
          <w:tcPr>
            <w:tcW w:w="3260" w:type="dxa"/>
          </w:tcPr>
          <w:p w14:paraId="0F6C55A1" w14:textId="77777777" w:rsidR="00430617" w:rsidRDefault="00430617"/>
        </w:tc>
      </w:tr>
      <w:tr w:rsidR="00430617" w14:paraId="2796F85D" w14:textId="77777777" w:rsidTr="00742735">
        <w:tc>
          <w:tcPr>
            <w:tcW w:w="1550" w:type="dxa"/>
          </w:tcPr>
          <w:p w14:paraId="70B71945" w14:textId="77777777" w:rsidR="00430617" w:rsidRDefault="00430617" w:rsidP="00430617">
            <w:r>
              <w:t>Bullying</w:t>
            </w:r>
          </w:p>
        </w:tc>
        <w:tc>
          <w:tcPr>
            <w:tcW w:w="3380" w:type="dxa"/>
          </w:tcPr>
          <w:p w14:paraId="3B5167B3" w14:textId="77777777" w:rsidR="00430617" w:rsidRDefault="00430617">
            <w:r>
              <w:t>Involve the repeated use of force, threat or coercion to abuse, intimidate or aggressively dominate others</w:t>
            </w:r>
          </w:p>
        </w:tc>
        <w:tc>
          <w:tcPr>
            <w:tcW w:w="992" w:type="dxa"/>
          </w:tcPr>
          <w:p w14:paraId="3D040CC7" w14:textId="77777777" w:rsidR="00430617" w:rsidRDefault="00430617"/>
        </w:tc>
        <w:tc>
          <w:tcPr>
            <w:tcW w:w="3260" w:type="dxa"/>
          </w:tcPr>
          <w:p w14:paraId="5F6B0475" w14:textId="77777777" w:rsidR="00430617" w:rsidRDefault="00430617"/>
        </w:tc>
      </w:tr>
      <w:tr w:rsidR="00430617" w14:paraId="36996BBD" w14:textId="77777777" w:rsidTr="00742735">
        <w:tc>
          <w:tcPr>
            <w:tcW w:w="1550" w:type="dxa"/>
          </w:tcPr>
          <w:p w14:paraId="65C2C4ED" w14:textId="77777777" w:rsidR="00430617" w:rsidRDefault="00430617" w:rsidP="00430617">
            <w:r>
              <w:t>Child Sexual Exploitation</w:t>
            </w:r>
          </w:p>
        </w:tc>
        <w:tc>
          <w:tcPr>
            <w:tcW w:w="3380" w:type="dxa"/>
          </w:tcPr>
          <w:p w14:paraId="7C099A53" w14:textId="27202E47" w:rsidR="00430617" w:rsidRDefault="00430617">
            <w:r>
              <w:t>Is encouraging the child into a coercive/manipulative sexual relationship. This may include encouragement to meet</w:t>
            </w:r>
          </w:p>
        </w:tc>
        <w:tc>
          <w:tcPr>
            <w:tcW w:w="992" w:type="dxa"/>
          </w:tcPr>
          <w:p w14:paraId="17726761" w14:textId="77777777" w:rsidR="00430617" w:rsidRDefault="00430617"/>
        </w:tc>
        <w:tc>
          <w:tcPr>
            <w:tcW w:w="3260" w:type="dxa"/>
          </w:tcPr>
          <w:p w14:paraId="1AF4A638" w14:textId="77777777" w:rsidR="00430617" w:rsidRDefault="00430617"/>
        </w:tc>
      </w:tr>
      <w:tr w:rsidR="00430617" w14:paraId="6E701606" w14:textId="77777777" w:rsidTr="00742735">
        <w:tc>
          <w:tcPr>
            <w:tcW w:w="1550" w:type="dxa"/>
          </w:tcPr>
          <w:p w14:paraId="36C710BF" w14:textId="77777777" w:rsidR="00430617" w:rsidRDefault="00430617" w:rsidP="00430617">
            <w:r>
              <w:t>Discrimination</w:t>
            </w:r>
          </w:p>
        </w:tc>
        <w:tc>
          <w:tcPr>
            <w:tcW w:w="3380" w:type="dxa"/>
          </w:tcPr>
          <w:p w14:paraId="0DDA361F" w14:textId="77777777" w:rsidR="00430617" w:rsidRDefault="00430617">
            <w:r>
              <w:t>Promotes the unjust or prejudicial treatment of people on the grounds of race, religion, age, sex, disability or gender identity</w:t>
            </w:r>
          </w:p>
        </w:tc>
        <w:tc>
          <w:tcPr>
            <w:tcW w:w="992" w:type="dxa"/>
          </w:tcPr>
          <w:p w14:paraId="075B08B9" w14:textId="77777777" w:rsidR="00430617" w:rsidRDefault="00430617"/>
        </w:tc>
        <w:tc>
          <w:tcPr>
            <w:tcW w:w="3260" w:type="dxa"/>
          </w:tcPr>
          <w:p w14:paraId="4A6A634B" w14:textId="77777777" w:rsidR="00430617" w:rsidRDefault="00430617"/>
        </w:tc>
      </w:tr>
      <w:tr w:rsidR="00430617" w14:paraId="08BCDB75" w14:textId="77777777" w:rsidTr="00742735">
        <w:tc>
          <w:tcPr>
            <w:tcW w:w="1550" w:type="dxa"/>
          </w:tcPr>
          <w:p w14:paraId="5D09E5F4" w14:textId="77777777" w:rsidR="00430617" w:rsidRDefault="00430617" w:rsidP="00430617">
            <w:r>
              <w:t>Drugs / Substance abuse</w:t>
            </w:r>
          </w:p>
        </w:tc>
        <w:tc>
          <w:tcPr>
            <w:tcW w:w="3380" w:type="dxa"/>
          </w:tcPr>
          <w:p w14:paraId="5FC7B28E" w14:textId="77777777" w:rsidR="00430617" w:rsidRDefault="00430617">
            <w:r>
              <w:t>displays or promotes the illegal use of drugs or substances</w:t>
            </w:r>
          </w:p>
        </w:tc>
        <w:tc>
          <w:tcPr>
            <w:tcW w:w="992" w:type="dxa"/>
          </w:tcPr>
          <w:p w14:paraId="0B19E787" w14:textId="77777777" w:rsidR="00430617" w:rsidRDefault="00430617"/>
        </w:tc>
        <w:tc>
          <w:tcPr>
            <w:tcW w:w="3260" w:type="dxa"/>
          </w:tcPr>
          <w:p w14:paraId="7BD3D5C5" w14:textId="77777777" w:rsidR="00430617" w:rsidRDefault="00430617"/>
        </w:tc>
      </w:tr>
      <w:tr w:rsidR="00430617" w14:paraId="584ACE83" w14:textId="77777777" w:rsidTr="00742735">
        <w:tc>
          <w:tcPr>
            <w:tcW w:w="1550" w:type="dxa"/>
          </w:tcPr>
          <w:p w14:paraId="503BD8C4" w14:textId="77777777" w:rsidR="00430617" w:rsidRDefault="00430617" w:rsidP="00430617">
            <w:r>
              <w:t>Extremism</w:t>
            </w:r>
          </w:p>
        </w:tc>
        <w:tc>
          <w:tcPr>
            <w:tcW w:w="3380" w:type="dxa"/>
          </w:tcPr>
          <w:p w14:paraId="22F7B910" w14:textId="77777777" w:rsidR="00430617" w:rsidRDefault="00430617">
            <w:r>
              <w:t>promotes terrorism and terrorist ideologies, violence or intolerance</w:t>
            </w:r>
          </w:p>
        </w:tc>
        <w:tc>
          <w:tcPr>
            <w:tcW w:w="992" w:type="dxa"/>
          </w:tcPr>
          <w:p w14:paraId="148356D5" w14:textId="77777777" w:rsidR="00430617" w:rsidRDefault="00430617"/>
        </w:tc>
        <w:tc>
          <w:tcPr>
            <w:tcW w:w="3260" w:type="dxa"/>
          </w:tcPr>
          <w:p w14:paraId="0DA6EFD1" w14:textId="77777777" w:rsidR="00430617" w:rsidRDefault="00430617"/>
        </w:tc>
      </w:tr>
      <w:tr w:rsidR="00430617" w14:paraId="79D970B5" w14:textId="77777777" w:rsidTr="00742735">
        <w:tc>
          <w:tcPr>
            <w:tcW w:w="1550" w:type="dxa"/>
          </w:tcPr>
          <w:p w14:paraId="48E14A29" w14:textId="77777777" w:rsidR="00430617" w:rsidRDefault="00430617" w:rsidP="00430617">
            <w:r>
              <w:t>Pornography</w:t>
            </w:r>
          </w:p>
        </w:tc>
        <w:tc>
          <w:tcPr>
            <w:tcW w:w="3380" w:type="dxa"/>
          </w:tcPr>
          <w:p w14:paraId="05E6E72E" w14:textId="77777777" w:rsidR="00430617" w:rsidRDefault="00430617">
            <w:r>
              <w:t>displays sexual acts or explicit images</w:t>
            </w:r>
          </w:p>
        </w:tc>
        <w:tc>
          <w:tcPr>
            <w:tcW w:w="992" w:type="dxa"/>
          </w:tcPr>
          <w:p w14:paraId="063F92DA" w14:textId="77777777" w:rsidR="00430617" w:rsidRDefault="00430617"/>
        </w:tc>
        <w:tc>
          <w:tcPr>
            <w:tcW w:w="3260" w:type="dxa"/>
          </w:tcPr>
          <w:p w14:paraId="4FF15F14" w14:textId="77777777" w:rsidR="00430617" w:rsidRDefault="00430617"/>
        </w:tc>
      </w:tr>
      <w:tr w:rsidR="00430617" w14:paraId="09BA3D7A" w14:textId="77777777" w:rsidTr="00742735">
        <w:tc>
          <w:tcPr>
            <w:tcW w:w="1550" w:type="dxa"/>
          </w:tcPr>
          <w:p w14:paraId="25C5C5EB" w14:textId="77777777" w:rsidR="00430617" w:rsidRDefault="00430617" w:rsidP="00430617">
            <w:r>
              <w:t>Self Harm</w:t>
            </w:r>
          </w:p>
        </w:tc>
        <w:tc>
          <w:tcPr>
            <w:tcW w:w="3380" w:type="dxa"/>
          </w:tcPr>
          <w:p w14:paraId="2F468D15" w14:textId="77777777" w:rsidR="00430617" w:rsidRDefault="00430617">
            <w:r>
              <w:t>promotes or displays deliberate self harm</w:t>
            </w:r>
          </w:p>
        </w:tc>
        <w:tc>
          <w:tcPr>
            <w:tcW w:w="992" w:type="dxa"/>
          </w:tcPr>
          <w:p w14:paraId="409F27C2" w14:textId="77777777" w:rsidR="00430617" w:rsidRDefault="00430617"/>
        </w:tc>
        <w:tc>
          <w:tcPr>
            <w:tcW w:w="3260" w:type="dxa"/>
          </w:tcPr>
          <w:p w14:paraId="34C5221B" w14:textId="77777777" w:rsidR="00430617" w:rsidRDefault="00430617"/>
        </w:tc>
      </w:tr>
      <w:tr w:rsidR="00430617" w14:paraId="5AC53565" w14:textId="77777777" w:rsidTr="00742735">
        <w:tc>
          <w:tcPr>
            <w:tcW w:w="1550" w:type="dxa"/>
          </w:tcPr>
          <w:p w14:paraId="48D538BA" w14:textId="77777777" w:rsidR="00430617" w:rsidRDefault="00430617" w:rsidP="00430617">
            <w:r>
              <w:t>Suicide</w:t>
            </w:r>
          </w:p>
        </w:tc>
        <w:tc>
          <w:tcPr>
            <w:tcW w:w="3380" w:type="dxa"/>
          </w:tcPr>
          <w:p w14:paraId="36EE1562" w14:textId="77777777" w:rsidR="00430617" w:rsidRDefault="00430617">
            <w:r>
              <w:t>Suggest the user is considering suicide</w:t>
            </w:r>
          </w:p>
        </w:tc>
        <w:tc>
          <w:tcPr>
            <w:tcW w:w="992" w:type="dxa"/>
          </w:tcPr>
          <w:p w14:paraId="66B713F6" w14:textId="77777777" w:rsidR="00430617" w:rsidRDefault="00430617"/>
        </w:tc>
        <w:tc>
          <w:tcPr>
            <w:tcW w:w="3260" w:type="dxa"/>
          </w:tcPr>
          <w:p w14:paraId="1885A986" w14:textId="77777777" w:rsidR="00430617" w:rsidRDefault="00430617"/>
        </w:tc>
      </w:tr>
      <w:tr w:rsidR="00430617" w14:paraId="2830E2BF" w14:textId="77777777" w:rsidTr="00742735">
        <w:tc>
          <w:tcPr>
            <w:tcW w:w="1550" w:type="dxa"/>
          </w:tcPr>
          <w:p w14:paraId="5A9E5AFA" w14:textId="77777777" w:rsidR="00430617" w:rsidRDefault="00430617" w:rsidP="009B299B">
            <w:r>
              <w:t>Violence</w:t>
            </w:r>
          </w:p>
        </w:tc>
        <w:tc>
          <w:tcPr>
            <w:tcW w:w="3380" w:type="dxa"/>
          </w:tcPr>
          <w:p w14:paraId="08150942" w14:textId="77777777" w:rsidR="00430617" w:rsidRDefault="00430617" w:rsidP="009B299B">
            <w:r>
              <w:t>Displays or promotes the use of physical force intended to hurt or kill</w:t>
            </w:r>
          </w:p>
        </w:tc>
        <w:tc>
          <w:tcPr>
            <w:tcW w:w="992" w:type="dxa"/>
          </w:tcPr>
          <w:p w14:paraId="2A10D3B0" w14:textId="77777777" w:rsidR="00430617" w:rsidRDefault="00430617" w:rsidP="009B299B"/>
        </w:tc>
        <w:tc>
          <w:tcPr>
            <w:tcW w:w="3260" w:type="dxa"/>
          </w:tcPr>
          <w:p w14:paraId="6295CEF1" w14:textId="77777777" w:rsidR="00430617" w:rsidRDefault="00430617" w:rsidP="009B299B"/>
        </w:tc>
      </w:tr>
    </w:tbl>
    <w:p w14:paraId="76778224" w14:textId="77777777" w:rsidR="00CD4E31" w:rsidRDefault="00CD4E31"/>
    <w:p w14:paraId="61C8873A" w14:textId="77777777" w:rsidR="004E52EC" w:rsidRDefault="002D0F3F">
      <w:r>
        <w:lastRenderedPageBreak/>
        <w:t>This list should not be considered an exhaustive list</w:t>
      </w:r>
      <w:r w:rsidR="00B0274F">
        <w:t>.  Please outline how the system</w:t>
      </w:r>
      <w:r>
        <w:t xml:space="preserve"> manages this content and many other aspects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E31" w14:paraId="3264BD3F" w14:textId="77777777" w:rsidTr="00CD4E31">
        <w:tc>
          <w:tcPr>
            <w:tcW w:w="9016" w:type="dxa"/>
          </w:tcPr>
          <w:p w14:paraId="64F8A87D" w14:textId="77777777" w:rsidR="00CD4E31" w:rsidRDefault="00CD4E31"/>
        </w:tc>
      </w:tr>
    </w:tbl>
    <w:p w14:paraId="5DBCDAB3" w14:textId="77777777" w:rsidR="00CD4E31" w:rsidRDefault="00CD4E31"/>
    <w:p w14:paraId="311EE370" w14:textId="77777777" w:rsidR="004E52EC" w:rsidRDefault="002D0F3F">
      <w:r>
        <w:t>Providers should be clear how their system does not over block access so it does not lead to unreasonable restrictions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E31" w14:paraId="1604AA83" w14:textId="77777777" w:rsidTr="00CD4E31">
        <w:tc>
          <w:tcPr>
            <w:tcW w:w="9016" w:type="dxa"/>
          </w:tcPr>
          <w:p w14:paraId="0908146F" w14:textId="77777777" w:rsidR="00CD4E31" w:rsidRDefault="00CD4E31"/>
        </w:tc>
      </w:tr>
    </w:tbl>
    <w:p w14:paraId="4C0E224E" w14:textId="77777777" w:rsidR="00CD4E31" w:rsidRDefault="00CD4E31"/>
    <w:p w14:paraId="5546E573" w14:textId="77777777" w:rsidR="004E52EC" w:rsidRDefault="00430617">
      <w:pPr>
        <w:pStyle w:val="Heading2"/>
      </w:pPr>
      <w:r>
        <w:t>Monitoring</w:t>
      </w:r>
      <w:r w:rsidR="002D0F3F">
        <w:t xml:space="preserve"> System Features</w:t>
      </w:r>
    </w:p>
    <w:p w14:paraId="1BDD41D3" w14:textId="77777777" w:rsidR="004E52EC" w:rsidRDefault="00B0274F">
      <w:r>
        <w:t>How does the</w:t>
      </w:r>
      <w:r w:rsidR="002D0F3F">
        <w:t xml:space="preserve"> </w:t>
      </w:r>
      <w:r w:rsidR="00430617">
        <w:t>monitoring</w:t>
      </w:r>
      <w:r w:rsidR="002D0F3F">
        <w:t xml:space="preserve"> system meet the following principles</w:t>
      </w:r>
      <w:r w:rsidR="00604FFB">
        <w:t>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1134"/>
        <w:gridCol w:w="2835"/>
      </w:tblGrid>
      <w:tr w:rsidR="00CD4E31" w:rsidRPr="00CD4E31" w14:paraId="31EEB013" w14:textId="77777777" w:rsidTr="00B0274F">
        <w:tc>
          <w:tcPr>
            <w:tcW w:w="5104" w:type="dxa"/>
            <w:shd w:val="clear" w:color="auto" w:fill="D0CECE" w:themeFill="background2" w:themeFillShade="E6"/>
          </w:tcPr>
          <w:p w14:paraId="1232F55A" w14:textId="77777777" w:rsidR="00CD4E31" w:rsidRPr="00CD4E31" w:rsidRDefault="00CD4E31" w:rsidP="00CD4E31">
            <w:pPr>
              <w:contextualSpacing/>
            </w:pPr>
            <w:r>
              <w:t>Principle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7FB2BED" w14:textId="77777777" w:rsidR="00CD4E31" w:rsidRPr="00CD4E31" w:rsidRDefault="001310BA" w:rsidP="00CD4E31">
            <w:pPr>
              <w:contextualSpacing/>
            </w:pPr>
            <w:r>
              <w:t>Rating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09D0FFB6" w14:textId="77777777" w:rsidR="00CD4E31" w:rsidRPr="00CD4E31" w:rsidRDefault="00CD4E31" w:rsidP="00CD4E31">
            <w:pPr>
              <w:ind w:left="-11"/>
              <w:contextualSpacing/>
            </w:pPr>
            <w:r>
              <w:t>Explanation</w:t>
            </w:r>
          </w:p>
        </w:tc>
      </w:tr>
      <w:tr w:rsidR="00430617" w14:paraId="3F7E0ABB" w14:textId="77777777" w:rsidTr="00CD4E31">
        <w:tc>
          <w:tcPr>
            <w:tcW w:w="5104" w:type="dxa"/>
          </w:tcPr>
          <w:p w14:paraId="2CE5A344" w14:textId="77777777" w:rsidR="00751785" w:rsidRPr="00CD4E31" w:rsidRDefault="00430617" w:rsidP="00751785">
            <w:pPr>
              <w:pStyle w:val="ListParagraph"/>
              <w:numPr>
                <w:ilvl w:val="0"/>
                <w:numId w:val="4"/>
              </w:numPr>
              <w:ind w:left="431"/>
            </w:pPr>
            <w:r>
              <w:t>Age appropriate – includes the ability to implement variable monitoring appropriate to age. This will in turn define which alerts are prioritised and responded to</w:t>
            </w:r>
            <w:r w:rsidR="00751785">
              <w:t>.  Further situations may warrant additional capability, for examples boarding schools or community based access</w:t>
            </w:r>
          </w:p>
        </w:tc>
        <w:tc>
          <w:tcPr>
            <w:tcW w:w="1134" w:type="dxa"/>
          </w:tcPr>
          <w:p w14:paraId="00B543CB" w14:textId="77777777" w:rsidR="00430617" w:rsidRPr="00CD4E31" w:rsidRDefault="00430617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44F67F4A" w14:textId="77777777" w:rsidR="00430617" w:rsidRPr="00CD4E31" w:rsidRDefault="00430617" w:rsidP="00430617">
            <w:pPr>
              <w:ind w:left="360"/>
              <w:contextualSpacing/>
            </w:pPr>
          </w:p>
        </w:tc>
      </w:tr>
      <w:tr w:rsidR="00964986" w14:paraId="3908D27A" w14:textId="77777777" w:rsidTr="00CD4E31">
        <w:tc>
          <w:tcPr>
            <w:tcW w:w="5104" w:type="dxa"/>
          </w:tcPr>
          <w:p w14:paraId="616E8CDC" w14:textId="77777777" w:rsidR="00964986" w:rsidRDefault="00964986" w:rsidP="00CD1635">
            <w:pPr>
              <w:pStyle w:val="ListParagraph"/>
              <w:numPr>
                <w:ilvl w:val="0"/>
                <w:numId w:val="4"/>
              </w:numPr>
              <w:ind w:left="431"/>
            </w:pPr>
            <w:r>
              <w:t>Alert Management – how alerts are managed – if schoo</w:t>
            </w:r>
            <w:r w:rsidR="00D66DD0">
              <w:t>ls manage system</w:t>
            </w:r>
            <w:r>
              <w:t xml:space="preserve"> alerts or support/management </w:t>
            </w:r>
            <w:r w:rsidR="00D66DD0">
              <w:t>is provided</w:t>
            </w:r>
          </w:p>
        </w:tc>
        <w:tc>
          <w:tcPr>
            <w:tcW w:w="1134" w:type="dxa"/>
          </w:tcPr>
          <w:p w14:paraId="691EC776" w14:textId="77777777" w:rsidR="00964986" w:rsidRPr="00CD4E31" w:rsidRDefault="00964986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5CD6D727" w14:textId="77777777" w:rsidR="00964986" w:rsidRPr="00CD4E31" w:rsidRDefault="00964986" w:rsidP="00430617">
            <w:pPr>
              <w:ind w:left="360"/>
              <w:contextualSpacing/>
            </w:pPr>
          </w:p>
        </w:tc>
      </w:tr>
      <w:tr w:rsidR="00430617" w14:paraId="701CE544" w14:textId="77777777" w:rsidTr="00CD4E31">
        <w:tc>
          <w:tcPr>
            <w:tcW w:w="5104" w:type="dxa"/>
          </w:tcPr>
          <w:p w14:paraId="227F6DF6" w14:textId="22CD9640" w:rsidR="00430617" w:rsidRPr="00CD4E31" w:rsidRDefault="00430617" w:rsidP="00CD1635">
            <w:pPr>
              <w:pStyle w:val="ListParagraph"/>
              <w:numPr>
                <w:ilvl w:val="0"/>
                <w:numId w:val="4"/>
              </w:numPr>
              <w:ind w:left="431"/>
            </w:pPr>
            <w:r>
              <w:t xml:space="preserve">BYOD (Bring Your Own Device) – if the system includes the capability to monitor </w:t>
            </w:r>
            <w:r w:rsidR="005F0AF4">
              <w:t>personal mobile</w:t>
            </w:r>
            <w:r>
              <w:t xml:space="preserve"> and app technologies (ie </w:t>
            </w:r>
            <w:r w:rsidRPr="00427F9C">
              <w:rPr>
                <w:color w:val="000000" w:themeColor="text1"/>
              </w:rPr>
              <w:t xml:space="preserve">not owned by the school), </w:t>
            </w:r>
            <w:r w:rsidR="00CD1635" w:rsidRPr="00427F9C">
              <w:rPr>
                <w:color w:val="000000" w:themeColor="text1"/>
              </w:rPr>
              <w:t>how</w:t>
            </w:r>
            <w:r w:rsidR="00A029DD" w:rsidRPr="00427F9C">
              <w:rPr>
                <w:color w:val="000000" w:themeColor="text1"/>
              </w:rPr>
              <w:t xml:space="preserve"> is this deployed and supported and how data is managed.  Does it monitor beyond the school hours and location</w:t>
            </w:r>
          </w:p>
        </w:tc>
        <w:tc>
          <w:tcPr>
            <w:tcW w:w="1134" w:type="dxa"/>
          </w:tcPr>
          <w:p w14:paraId="0DAA2F77" w14:textId="77777777" w:rsidR="00430617" w:rsidRPr="00CD4E31" w:rsidRDefault="00430617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54EBAB71" w14:textId="77777777" w:rsidR="00430617" w:rsidRPr="00CD4E31" w:rsidRDefault="00430617" w:rsidP="00430617">
            <w:pPr>
              <w:ind w:left="360"/>
              <w:contextualSpacing/>
            </w:pPr>
          </w:p>
        </w:tc>
      </w:tr>
      <w:tr w:rsidR="00430617" w14:paraId="1E0353D1" w14:textId="77777777" w:rsidTr="00CD4E31">
        <w:tc>
          <w:tcPr>
            <w:tcW w:w="5104" w:type="dxa"/>
          </w:tcPr>
          <w:p w14:paraId="1F944C07" w14:textId="7EA47505" w:rsidR="00430617" w:rsidRPr="00CD4E31" w:rsidRDefault="00430617" w:rsidP="005F0AF4">
            <w:pPr>
              <w:numPr>
                <w:ilvl w:val="0"/>
                <w:numId w:val="5"/>
              </w:numPr>
              <w:ind w:left="464" w:hanging="360"/>
              <w:contextualSpacing/>
            </w:pPr>
            <w:r>
              <w:t>Data retention –what data is</w:t>
            </w:r>
            <w:r w:rsidR="00CD1635">
              <w:t xml:space="preserve"> stored, where </w:t>
            </w:r>
            <w:r w:rsidR="00BD04D6">
              <w:t>is it (physically</w:t>
            </w:r>
            <w:r w:rsidR="005F0AF4">
              <w:t>– ie cloud/school infrastructure</w:t>
            </w:r>
            <w:r w:rsidR="00BD04D6">
              <w:t xml:space="preserve">) stored </w:t>
            </w:r>
            <w:r w:rsidR="00CD1635">
              <w:t>and for how long</w:t>
            </w:r>
            <w:r w:rsidR="005F0AF4">
              <w:t>.  This should also include any data backup provision</w:t>
            </w:r>
          </w:p>
        </w:tc>
        <w:tc>
          <w:tcPr>
            <w:tcW w:w="1134" w:type="dxa"/>
          </w:tcPr>
          <w:p w14:paraId="173578CB" w14:textId="77777777" w:rsidR="00430617" w:rsidRPr="00CD4E31" w:rsidRDefault="00430617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7967CBD3" w14:textId="77777777" w:rsidR="00430617" w:rsidRPr="00CD4E31" w:rsidRDefault="00430617" w:rsidP="00430617">
            <w:pPr>
              <w:ind w:left="360"/>
              <w:contextualSpacing/>
            </w:pPr>
          </w:p>
        </w:tc>
      </w:tr>
      <w:tr w:rsidR="00A029DD" w14:paraId="37D2ABDD" w14:textId="77777777" w:rsidTr="00CD4E31">
        <w:tc>
          <w:tcPr>
            <w:tcW w:w="5104" w:type="dxa"/>
          </w:tcPr>
          <w:p w14:paraId="00B33DA4" w14:textId="77777777" w:rsidR="00A029DD" w:rsidRDefault="00A029DD" w:rsidP="00A029DD">
            <w:pPr>
              <w:pStyle w:val="ListParagraph"/>
              <w:numPr>
                <w:ilvl w:val="0"/>
                <w:numId w:val="4"/>
              </w:numPr>
              <w:ind w:left="431"/>
            </w:pPr>
            <w:r w:rsidRPr="00427F9C">
              <w:rPr>
                <w:color w:val="000000" w:themeColor="text1"/>
              </w:rPr>
              <w:t>Devices – if software is required to be installed on devices, the monitoring system should be clear about the devices (and operating systems) it covers</w:t>
            </w:r>
          </w:p>
        </w:tc>
        <w:tc>
          <w:tcPr>
            <w:tcW w:w="1134" w:type="dxa"/>
          </w:tcPr>
          <w:p w14:paraId="77505F58" w14:textId="77777777" w:rsidR="00A029DD" w:rsidRPr="00CD4E31" w:rsidRDefault="00A029DD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61669799" w14:textId="77777777" w:rsidR="00A029DD" w:rsidRPr="00CD4E31" w:rsidRDefault="00A029DD" w:rsidP="00430617">
            <w:pPr>
              <w:ind w:left="360"/>
              <w:contextualSpacing/>
            </w:pPr>
          </w:p>
        </w:tc>
      </w:tr>
      <w:tr w:rsidR="00430617" w14:paraId="594E5D5D" w14:textId="77777777" w:rsidTr="00CD4E31">
        <w:tc>
          <w:tcPr>
            <w:tcW w:w="5104" w:type="dxa"/>
          </w:tcPr>
          <w:p w14:paraId="28180A9D" w14:textId="77777777" w:rsidR="00430617" w:rsidRPr="00CD4E31" w:rsidRDefault="00430617" w:rsidP="00CD1635">
            <w:pPr>
              <w:pStyle w:val="ListParagraph"/>
              <w:numPr>
                <w:ilvl w:val="0"/>
                <w:numId w:val="4"/>
              </w:numPr>
              <w:ind w:left="431"/>
            </w:pPr>
            <w:r>
              <w:lastRenderedPageBreak/>
              <w:t xml:space="preserve">Flexibility – schools ability to amend (add or remove) keywords easily </w:t>
            </w:r>
          </w:p>
        </w:tc>
        <w:tc>
          <w:tcPr>
            <w:tcW w:w="1134" w:type="dxa"/>
          </w:tcPr>
          <w:p w14:paraId="3D5BEDE5" w14:textId="77777777" w:rsidR="00430617" w:rsidRPr="00CD4E31" w:rsidRDefault="00430617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0AC24143" w14:textId="77777777" w:rsidR="00430617" w:rsidRPr="00CD4E31" w:rsidRDefault="00430617" w:rsidP="00430617">
            <w:pPr>
              <w:ind w:left="360"/>
              <w:contextualSpacing/>
            </w:pPr>
          </w:p>
        </w:tc>
      </w:tr>
      <w:tr w:rsidR="00751785" w14:paraId="4BD324DF" w14:textId="77777777" w:rsidTr="00CD4E31">
        <w:tc>
          <w:tcPr>
            <w:tcW w:w="5104" w:type="dxa"/>
          </w:tcPr>
          <w:p w14:paraId="2E609134" w14:textId="77777777" w:rsidR="00751785" w:rsidRDefault="00751785" w:rsidP="00751785">
            <w:pPr>
              <w:pStyle w:val="ListParagraph"/>
              <w:numPr>
                <w:ilvl w:val="0"/>
                <w:numId w:val="4"/>
              </w:numPr>
              <w:ind w:left="431"/>
            </w:pPr>
            <w:r w:rsidRPr="00751785">
              <w:t>Group / Multi-site Management – the ability for deployment of central policy an</w:t>
            </w:r>
            <w:r>
              <w:t>d central oversight or dashboard</w:t>
            </w:r>
          </w:p>
        </w:tc>
        <w:tc>
          <w:tcPr>
            <w:tcW w:w="1134" w:type="dxa"/>
          </w:tcPr>
          <w:p w14:paraId="49AF3841" w14:textId="77777777" w:rsidR="00751785" w:rsidRPr="00CD4E31" w:rsidRDefault="00751785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620DF093" w14:textId="77777777" w:rsidR="00751785" w:rsidRPr="00CD4E31" w:rsidRDefault="00751785" w:rsidP="00430617">
            <w:pPr>
              <w:ind w:left="360"/>
              <w:contextualSpacing/>
            </w:pPr>
          </w:p>
        </w:tc>
      </w:tr>
      <w:tr w:rsidR="00430617" w14:paraId="52F49EDD" w14:textId="77777777" w:rsidTr="00CD4E31">
        <w:tc>
          <w:tcPr>
            <w:tcW w:w="5104" w:type="dxa"/>
          </w:tcPr>
          <w:p w14:paraId="7E3A674F" w14:textId="77777777" w:rsidR="00430617" w:rsidRPr="00CD4E31" w:rsidRDefault="00CD1635" w:rsidP="00CD1635">
            <w:pPr>
              <w:pStyle w:val="ListParagraph"/>
              <w:numPr>
                <w:ilvl w:val="0"/>
                <w:numId w:val="4"/>
              </w:numPr>
              <w:ind w:left="431"/>
            </w:pPr>
            <w:r>
              <w:t>Monitoring Policy – How are all users made aware that their online access is being monitored?  Is any advice or guidance provided to support schools?</w:t>
            </w:r>
          </w:p>
        </w:tc>
        <w:tc>
          <w:tcPr>
            <w:tcW w:w="1134" w:type="dxa"/>
          </w:tcPr>
          <w:p w14:paraId="219A3BE9" w14:textId="77777777" w:rsidR="00430617" w:rsidRPr="00CD4E31" w:rsidRDefault="00430617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34F91703" w14:textId="77777777" w:rsidR="00430617" w:rsidRPr="00CD4E31" w:rsidRDefault="00430617" w:rsidP="00430617">
            <w:pPr>
              <w:ind w:left="360"/>
              <w:contextualSpacing/>
            </w:pPr>
          </w:p>
        </w:tc>
      </w:tr>
      <w:tr w:rsidR="00430617" w14:paraId="6C5C5E5A" w14:textId="77777777" w:rsidTr="00CD4E31">
        <w:tc>
          <w:tcPr>
            <w:tcW w:w="5104" w:type="dxa"/>
          </w:tcPr>
          <w:p w14:paraId="0D7F56C9" w14:textId="77777777" w:rsidR="00430617" w:rsidRPr="00CD4E31" w:rsidRDefault="00CD1635" w:rsidP="00CD1635">
            <w:pPr>
              <w:pStyle w:val="ListParagraph"/>
              <w:numPr>
                <w:ilvl w:val="0"/>
                <w:numId w:val="4"/>
              </w:numPr>
              <w:ind w:left="431"/>
            </w:pPr>
            <w:r>
              <w:t>Multiple language support – the ability for the system to manage relevant languages?</w:t>
            </w:r>
          </w:p>
        </w:tc>
        <w:tc>
          <w:tcPr>
            <w:tcW w:w="1134" w:type="dxa"/>
          </w:tcPr>
          <w:p w14:paraId="69310FF8" w14:textId="77777777" w:rsidR="00430617" w:rsidRPr="00CD4E31" w:rsidRDefault="00430617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1A3E8AB7" w14:textId="77777777" w:rsidR="00430617" w:rsidRPr="00CD4E31" w:rsidRDefault="00430617" w:rsidP="00430617">
            <w:pPr>
              <w:ind w:left="360"/>
              <w:contextualSpacing/>
            </w:pPr>
          </w:p>
        </w:tc>
      </w:tr>
      <w:tr w:rsidR="00430617" w14:paraId="25B4FD76" w14:textId="77777777" w:rsidTr="00CD4E31">
        <w:tc>
          <w:tcPr>
            <w:tcW w:w="5104" w:type="dxa"/>
          </w:tcPr>
          <w:p w14:paraId="2E9C94AA" w14:textId="77777777" w:rsidR="00430617" w:rsidRPr="00CD4E31" w:rsidRDefault="00CD1635" w:rsidP="00CD1635">
            <w:pPr>
              <w:pStyle w:val="ListParagraph"/>
              <w:numPr>
                <w:ilvl w:val="0"/>
                <w:numId w:val="4"/>
              </w:numPr>
              <w:ind w:left="431"/>
            </w:pPr>
            <w:r>
              <w:t>Prioritisation – How are alerts generated and prioritised to enable a rapid response to immediate issues. What operational procedures are in place to facilitate that process?</w:t>
            </w:r>
          </w:p>
        </w:tc>
        <w:tc>
          <w:tcPr>
            <w:tcW w:w="1134" w:type="dxa"/>
          </w:tcPr>
          <w:p w14:paraId="47FFFBE0" w14:textId="77777777" w:rsidR="00430617" w:rsidRPr="00CD4E31" w:rsidRDefault="00430617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426E8A1B" w14:textId="77777777" w:rsidR="00430617" w:rsidRPr="00CD4E31" w:rsidRDefault="00430617" w:rsidP="00430617">
            <w:pPr>
              <w:ind w:left="360"/>
              <w:contextualSpacing/>
            </w:pPr>
          </w:p>
        </w:tc>
      </w:tr>
      <w:tr w:rsidR="005F0AF4" w14:paraId="6A80586A" w14:textId="77777777" w:rsidTr="00CD4E31">
        <w:tc>
          <w:tcPr>
            <w:tcW w:w="5104" w:type="dxa"/>
          </w:tcPr>
          <w:p w14:paraId="2B33E571" w14:textId="20BF2D34" w:rsidR="005F0AF4" w:rsidRDefault="005F0AF4" w:rsidP="005F0AF4">
            <w:pPr>
              <w:numPr>
                <w:ilvl w:val="0"/>
                <w:numId w:val="4"/>
              </w:numPr>
              <w:ind w:left="464"/>
              <w:contextualSpacing/>
            </w:pPr>
            <w:r>
              <w:t>Remote monitoring – with many children and staff working remotely, the ability, extent and management for the monitoring of devices (school and/or personal).  Included here is the hours of operation together with the explicit awareness of users.</w:t>
            </w:r>
          </w:p>
        </w:tc>
        <w:tc>
          <w:tcPr>
            <w:tcW w:w="1134" w:type="dxa"/>
          </w:tcPr>
          <w:p w14:paraId="00F5EF41" w14:textId="77777777" w:rsidR="005F0AF4" w:rsidRPr="00CD4E31" w:rsidRDefault="005F0AF4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75E843DC" w14:textId="77777777" w:rsidR="005F0AF4" w:rsidRPr="00CD4E31" w:rsidRDefault="005F0AF4" w:rsidP="00430617">
            <w:pPr>
              <w:ind w:left="360"/>
              <w:contextualSpacing/>
            </w:pPr>
          </w:p>
        </w:tc>
      </w:tr>
      <w:tr w:rsidR="00430617" w14:paraId="1180ED0A" w14:textId="77777777" w:rsidTr="00CD4E31">
        <w:tc>
          <w:tcPr>
            <w:tcW w:w="5104" w:type="dxa"/>
          </w:tcPr>
          <w:p w14:paraId="2B6C4E91" w14:textId="77777777" w:rsidR="00430617" w:rsidRPr="00CD4E31" w:rsidRDefault="00430617" w:rsidP="00CD1635">
            <w:pPr>
              <w:pStyle w:val="ListParagraph"/>
              <w:numPr>
                <w:ilvl w:val="0"/>
                <w:numId w:val="4"/>
              </w:numPr>
              <w:ind w:left="431"/>
            </w:pPr>
            <w:r>
              <w:t>Reporting – how alerts are recorded</w:t>
            </w:r>
            <w:r w:rsidR="00CD1635">
              <w:t xml:space="preserve"> within the system</w:t>
            </w:r>
            <w:r>
              <w:t>?</w:t>
            </w:r>
          </w:p>
        </w:tc>
        <w:tc>
          <w:tcPr>
            <w:tcW w:w="1134" w:type="dxa"/>
          </w:tcPr>
          <w:p w14:paraId="750EDB14" w14:textId="77777777" w:rsidR="00430617" w:rsidRPr="00CD4E31" w:rsidRDefault="00430617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55F77644" w14:textId="77777777" w:rsidR="00430617" w:rsidRPr="00CD4E31" w:rsidRDefault="00430617" w:rsidP="00430617">
            <w:pPr>
              <w:ind w:left="360"/>
              <w:contextualSpacing/>
            </w:pPr>
          </w:p>
        </w:tc>
      </w:tr>
      <w:tr w:rsidR="005F0AF4" w14:paraId="771E0743" w14:textId="77777777" w:rsidTr="00CD4E31">
        <w:tc>
          <w:tcPr>
            <w:tcW w:w="5104" w:type="dxa"/>
          </w:tcPr>
          <w:p w14:paraId="00CB8EDF" w14:textId="03E2FD5F" w:rsidR="005F0AF4" w:rsidRDefault="005F0AF4" w:rsidP="005F0AF4">
            <w:pPr>
              <w:numPr>
                <w:ilvl w:val="0"/>
                <w:numId w:val="4"/>
              </w:numPr>
              <w:ind w:left="464"/>
              <w:contextualSpacing/>
            </w:pPr>
            <w:r>
              <w:t>Harmful Image detection – The inclusion or extent to which visual content is discovered, monitored and analysed</w:t>
            </w:r>
            <w:r w:rsidR="002E1807">
              <w:t xml:space="preserve"> (eg Image hash)</w:t>
            </w:r>
          </w:p>
        </w:tc>
        <w:tc>
          <w:tcPr>
            <w:tcW w:w="1134" w:type="dxa"/>
          </w:tcPr>
          <w:p w14:paraId="1C34A9B3" w14:textId="77777777" w:rsidR="005F0AF4" w:rsidRPr="00CD4E31" w:rsidRDefault="005F0AF4" w:rsidP="00430617">
            <w:pPr>
              <w:ind w:left="360"/>
              <w:contextualSpacing/>
            </w:pPr>
          </w:p>
        </w:tc>
        <w:tc>
          <w:tcPr>
            <w:tcW w:w="2835" w:type="dxa"/>
          </w:tcPr>
          <w:p w14:paraId="2B5F03B5" w14:textId="77777777" w:rsidR="005F0AF4" w:rsidRPr="00CD4E31" w:rsidRDefault="005F0AF4" w:rsidP="00430617">
            <w:pPr>
              <w:ind w:left="360"/>
              <w:contextualSpacing/>
            </w:pPr>
          </w:p>
        </w:tc>
      </w:tr>
    </w:tbl>
    <w:p w14:paraId="1A126669" w14:textId="77777777" w:rsidR="004E52EC" w:rsidRDefault="004E52EC"/>
    <w:p w14:paraId="4EEF9273" w14:textId="77777777" w:rsidR="004E52EC" w:rsidRPr="00B0274F" w:rsidRDefault="00B0274F">
      <w:r>
        <w:t xml:space="preserve">Please note below opportunities </w:t>
      </w:r>
      <w:r w:rsidR="00964986">
        <w:t xml:space="preserve">or enhancements </w:t>
      </w:r>
      <w:r>
        <w:t xml:space="preserve">to support schools (and other settings) </w:t>
      </w:r>
      <w:r w:rsidR="00CD1635">
        <w:t>with their obligations around Keeping Children Safe in Education?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274F" w14:paraId="34B48F52" w14:textId="77777777" w:rsidTr="00B0274F">
        <w:tc>
          <w:tcPr>
            <w:tcW w:w="9016" w:type="dxa"/>
          </w:tcPr>
          <w:p w14:paraId="57D22A7B" w14:textId="77777777" w:rsidR="00B0274F" w:rsidRDefault="00B0274F"/>
        </w:tc>
      </w:tr>
    </w:tbl>
    <w:p w14:paraId="0DEB0014" w14:textId="77777777" w:rsidR="004E52EC" w:rsidRDefault="004E52EC"/>
    <w:p w14:paraId="0B6EB717" w14:textId="77777777" w:rsidR="001310BA" w:rsidRDefault="001310BA">
      <w:pPr>
        <w:rPr>
          <w:rStyle w:val="IntenseReference"/>
        </w:rPr>
      </w:pPr>
      <w:r>
        <w:rPr>
          <w:rStyle w:val="IntenseReference"/>
        </w:rPr>
        <w:br w:type="page"/>
      </w:r>
    </w:p>
    <w:p w14:paraId="3172AD32" w14:textId="77777777" w:rsidR="00B0274F" w:rsidRPr="000F3B0B" w:rsidRDefault="00751785">
      <w:pPr>
        <w:rPr>
          <w:rStyle w:val="IntenseReference"/>
        </w:rPr>
      </w:pPr>
      <w:r>
        <w:rPr>
          <w:rStyle w:val="IntenseReference"/>
        </w:rPr>
        <w:lastRenderedPageBreak/>
        <w:t xml:space="preserve">Monitoring </w:t>
      </w:r>
      <w:r w:rsidR="000F3B0B">
        <w:rPr>
          <w:rStyle w:val="IntenseReference"/>
        </w:rPr>
        <w:t xml:space="preserve">Provider </w:t>
      </w:r>
      <w:r w:rsidR="000F3B0B" w:rsidRPr="000F3B0B">
        <w:rPr>
          <w:rStyle w:val="IntenseReference"/>
        </w:rPr>
        <w:t xml:space="preserve">Self-Certification </w:t>
      </w:r>
      <w:r w:rsidR="00B0274F" w:rsidRPr="000F3B0B">
        <w:rPr>
          <w:rStyle w:val="IntenseReference"/>
        </w:rPr>
        <w:t>Declaration</w:t>
      </w:r>
    </w:p>
    <w:p w14:paraId="176B27B7" w14:textId="77777777" w:rsidR="00B0274F" w:rsidRDefault="00B0274F" w:rsidP="00B0274F">
      <w:r>
        <w:t>In order that schools can be confident regarding the accuracy of the self-certification statements, the supplier confirms:</w:t>
      </w:r>
    </w:p>
    <w:p w14:paraId="04DF5513" w14:textId="77777777" w:rsidR="00B0274F" w:rsidRDefault="00B0274F" w:rsidP="00B0274F">
      <w:pPr>
        <w:pStyle w:val="ListParagraph"/>
        <w:numPr>
          <w:ilvl w:val="0"/>
          <w:numId w:val="3"/>
        </w:numPr>
      </w:pPr>
      <w:r>
        <w:t>that their self-certification responses have been fully and accurately completed by a person or persons who are competent in the relevant fields</w:t>
      </w:r>
    </w:p>
    <w:p w14:paraId="06CF7938" w14:textId="77777777" w:rsidR="00B0274F" w:rsidRDefault="00B0274F" w:rsidP="003F60C8">
      <w:pPr>
        <w:pStyle w:val="ListParagraph"/>
        <w:numPr>
          <w:ilvl w:val="0"/>
          <w:numId w:val="3"/>
        </w:numPr>
      </w:pPr>
      <w:r>
        <w:t xml:space="preserve">that they will update their self-certification responses promptly when changes to the service or its terms and conditions would result in their existing compliance statement no longer being accurate or complete </w:t>
      </w:r>
    </w:p>
    <w:p w14:paraId="606A1F7A" w14:textId="77777777" w:rsidR="00B0274F" w:rsidRDefault="00B0274F" w:rsidP="00C61841">
      <w:pPr>
        <w:pStyle w:val="ListParagraph"/>
        <w:numPr>
          <w:ilvl w:val="0"/>
          <w:numId w:val="3"/>
        </w:numPr>
      </w:pPr>
      <w:r>
        <w:t>that they will provide any additional information or clarification sought as part of the self-certification process</w:t>
      </w:r>
    </w:p>
    <w:p w14:paraId="624665C2" w14:textId="77777777" w:rsidR="00B0274F" w:rsidRDefault="00B0274F" w:rsidP="007642A5">
      <w:pPr>
        <w:pStyle w:val="ListParagraph"/>
        <w:numPr>
          <w:ilvl w:val="0"/>
          <w:numId w:val="3"/>
        </w:numPr>
      </w:pPr>
      <w:r>
        <w:t xml:space="preserve">that if at any time, the </w:t>
      </w:r>
      <w:r w:rsidR="000F3B0B">
        <w:t>UK Safer Internet Centre</w:t>
      </w:r>
      <w:r>
        <w:t xml:space="preserve"> is of the view that any element or elements of a provider’s self-certification responses require independent verification, they will agree to that independent verification, supply all necessary clarification requested, meet the </w:t>
      </w:r>
      <w:r w:rsidR="000F3B0B">
        <w:t>a</w:t>
      </w:r>
      <w:r>
        <w:t>ssociated verification costs, or withdraw their self-certification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F3B0B" w14:paraId="27C2BF06" w14:textId="77777777" w:rsidTr="000F3B0B">
        <w:tc>
          <w:tcPr>
            <w:tcW w:w="1980" w:type="dxa"/>
          </w:tcPr>
          <w:p w14:paraId="41BAA688" w14:textId="77777777" w:rsidR="000F3B0B" w:rsidRDefault="000F3B0B" w:rsidP="000F3B0B">
            <w:r>
              <w:t>Name</w:t>
            </w:r>
          </w:p>
        </w:tc>
        <w:tc>
          <w:tcPr>
            <w:tcW w:w="7036" w:type="dxa"/>
          </w:tcPr>
          <w:p w14:paraId="30938E31" w14:textId="77777777" w:rsidR="000F3B0B" w:rsidRDefault="000F3B0B" w:rsidP="000F3B0B"/>
        </w:tc>
      </w:tr>
      <w:tr w:rsidR="000F3B0B" w14:paraId="09D73AA3" w14:textId="77777777" w:rsidTr="000F3B0B">
        <w:tc>
          <w:tcPr>
            <w:tcW w:w="1980" w:type="dxa"/>
          </w:tcPr>
          <w:p w14:paraId="75271F1F" w14:textId="77777777" w:rsidR="000F3B0B" w:rsidRDefault="000F3B0B" w:rsidP="000F3B0B">
            <w:r>
              <w:t>Position</w:t>
            </w:r>
          </w:p>
        </w:tc>
        <w:tc>
          <w:tcPr>
            <w:tcW w:w="7036" w:type="dxa"/>
          </w:tcPr>
          <w:p w14:paraId="78E1CF36" w14:textId="77777777" w:rsidR="000F3B0B" w:rsidRDefault="000F3B0B" w:rsidP="000F3B0B"/>
        </w:tc>
      </w:tr>
      <w:tr w:rsidR="000F3B0B" w14:paraId="62CE7FCB" w14:textId="77777777" w:rsidTr="000F3B0B">
        <w:tc>
          <w:tcPr>
            <w:tcW w:w="1980" w:type="dxa"/>
          </w:tcPr>
          <w:p w14:paraId="20F147F9" w14:textId="77777777" w:rsidR="000F3B0B" w:rsidRDefault="000F3B0B" w:rsidP="000F3B0B">
            <w:r>
              <w:t>Date</w:t>
            </w:r>
          </w:p>
        </w:tc>
        <w:tc>
          <w:tcPr>
            <w:tcW w:w="7036" w:type="dxa"/>
          </w:tcPr>
          <w:p w14:paraId="6362DD3E" w14:textId="77777777" w:rsidR="000F3B0B" w:rsidRDefault="000F3B0B" w:rsidP="000F3B0B"/>
        </w:tc>
      </w:tr>
      <w:tr w:rsidR="000F3B0B" w14:paraId="34A2184C" w14:textId="77777777" w:rsidTr="000F3B0B">
        <w:tc>
          <w:tcPr>
            <w:tcW w:w="1980" w:type="dxa"/>
          </w:tcPr>
          <w:p w14:paraId="27097AA5" w14:textId="77777777" w:rsidR="000F3B0B" w:rsidRDefault="000F3B0B" w:rsidP="000F3B0B">
            <w:r>
              <w:t>Signature</w:t>
            </w:r>
          </w:p>
        </w:tc>
        <w:tc>
          <w:tcPr>
            <w:tcW w:w="7036" w:type="dxa"/>
          </w:tcPr>
          <w:p w14:paraId="31B2D4FF" w14:textId="77777777" w:rsidR="000F3B0B" w:rsidRDefault="000F3B0B" w:rsidP="000F3B0B"/>
        </w:tc>
      </w:tr>
    </w:tbl>
    <w:p w14:paraId="498AF765" w14:textId="77777777" w:rsidR="000F3B0B" w:rsidRDefault="000F3B0B" w:rsidP="000F3B0B"/>
    <w:sectPr w:rsidR="000F3B0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DB11B" w14:textId="77777777" w:rsidR="004E33C3" w:rsidRDefault="004E33C3">
      <w:pPr>
        <w:spacing w:after="0" w:line="240" w:lineRule="auto"/>
      </w:pPr>
      <w:r>
        <w:separator/>
      </w:r>
    </w:p>
  </w:endnote>
  <w:endnote w:type="continuationSeparator" w:id="0">
    <w:p w14:paraId="13EE6D1B" w14:textId="77777777" w:rsidR="004E33C3" w:rsidRDefault="004E33C3">
      <w:pPr>
        <w:spacing w:after="0" w:line="240" w:lineRule="auto"/>
      </w:pPr>
      <w:r>
        <w:continuationSeparator/>
      </w:r>
    </w:p>
  </w:endnote>
  <w:endnote w:type="continuationNotice" w:id="1">
    <w:p w14:paraId="6FD9F028" w14:textId="77777777" w:rsidR="004E33C3" w:rsidRDefault="004E3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4E228" w14:textId="77777777" w:rsidR="004E33C3" w:rsidRDefault="004E33C3">
      <w:pPr>
        <w:spacing w:after="0" w:line="240" w:lineRule="auto"/>
      </w:pPr>
      <w:r>
        <w:separator/>
      </w:r>
    </w:p>
  </w:footnote>
  <w:footnote w:type="continuationSeparator" w:id="0">
    <w:p w14:paraId="10DEAF7B" w14:textId="77777777" w:rsidR="004E33C3" w:rsidRDefault="004E33C3">
      <w:pPr>
        <w:spacing w:after="0" w:line="240" w:lineRule="auto"/>
      </w:pPr>
      <w:r>
        <w:continuationSeparator/>
      </w:r>
    </w:p>
  </w:footnote>
  <w:footnote w:type="continuationNotice" w:id="1">
    <w:p w14:paraId="4E55B696" w14:textId="77777777" w:rsidR="004E33C3" w:rsidRDefault="004E33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019"/>
    <w:multiLevelType w:val="hybridMultilevel"/>
    <w:tmpl w:val="B5984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80AA6"/>
    <w:multiLevelType w:val="multilevel"/>
    <w:tmpl w:val="6B82E6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79A67EE"/>
    <w:multiLevelType w:val="multilevel"/>
    <w:tmpl w:val="CED6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A827D55"/>
    <w:multiLevelType w:val="multilevel"/>
    <w:tmpl w:val="D43CC1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CE0524C"/>
    <w:multiLevelType w:val="hybridMultilevel"/>
    <w:tmpl w:val="F82E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C"/>
    <w:rsid w:val="000910F1"/>
    <w:rsid w:val="000F3B0B"/>
    <w:rsid w:val="001310BA"/>
    <w:rsid w:val="00134807"/>
    <w:rsid w:val="001F4168"/>
    <w:rsid w:val="002659F7"/>
    <w:rsid w:val="0028782B"/>
    <w:rsid w:val="002D0F3F"/>
    <w:rsid w:val="002E1807"/>
    <w:rsid w:val="0031082F"/>
    <w:rsid w:val="003504C7"/>
    <w:rsid w:val="00350F81"/>
    <w:rsid w:val="00376087"/>
    <w:rsid w:val="00380CF8"/>
    <w:rsid w:val="003A40F2"/>
    <w:rsid w:val="003F7B89"/>
    <w:rsid w:val="004013A7"/>
    <w:rsid w:val="00427F9C"/>
    <w:rsid w:val="00430617"/>
    <w:rsid w:val="004833F1"/>
    <w:rsid w:val="00497A24"/>
    <w:rsid w:val="004E33C3"/>
    <w:rsid w:val="004E52EC"/>
    <w:rsid w:val="005F0AF4"/>
    <w:rsid w:val="00604FFB"/>
    <w:rsid w:val="006754F8"/>
    <w:rsid w:val="006B79CE"/>
    <w:rsid w:val="006E089E"/>
    <w:rsid w:val="00742735"/>
    <w:rsid w:val="00751785"/>
    <w:rsid w:val="00751897"/>
    <w:rsid w:val="007652AC"/>
    <w:rsid w:val="007D1B54"/>
    <w:rsid w:val="007D6FD4"/>
    <w:rsid w:val="0081309B"/>
    <w:rsid w:val="00837F7E"/>
    <w:rsid w:val="00844EDC"/>
    <w:rsid w:val="008E2B99"/>
    <w:rsid w:val="00915DDE"/>
    <w:rsid w:val="00964986"/>
    <w:rsid w:val="00976289"/>
    <w:rsid w:val="009813DA"/>
    <w:rsid w:val="00A029DD"/>
    <w:rsid w:val="00A84667"/>
    <w:rsid w:val="00A8534A"/>
    <w:rsid w:val="00AC2082"/>
    <w:rsid w:val="00B0274F"/>
    <w:rsid w:val="00B035B7"/>
    <w:rsid w:val="00B150F3"/>
    <w:rsid w:val="00BD04D6"/>
    <w:rsid w:val="00BD247B"/>
    <w:rsid w:val="00CA049A"/>
    <w:rsid w:val="00CD1635"/>
    <w:rsid w:val="00CD4E31"/>
    <w:rsid w:val="00D66DD0"/>
    <w:rsid w:val="00D723D7"/>
    <w:rsid w:val="00DB183C"/>
    <w:rsid w:val="00DB2F5E"/>
    <w:rsid w:val="00E076FE"/>
    <w:rsid w:val="00E92496"/>
    <w:rsid w:val="00FB4BCE"/>
    <w:rsid w:val="00FD1F32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5E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4E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4E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7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B0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F3B0B"/>
    <w:rPr>
      <w:b/>
      <w:bCs/>
      <w:smallCaps/>
      <w:color w:val="5B9BD5" w:themeColor="accent1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F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89"/>
  </w:style>
  <w:style w:type="paragraph" w:styleId="Footer">
    <w:name w:val="footer"/>
    <w:basedOn w:val="Normal"/>
    <w:link w:val="FooterChar"/>
    <w:uiPriority w:val="99"/>
    <w:unhideWhenUsed/>
    <w:rsid w:val="0097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89"/>
  </w:style>
  <w:style w:type="paragraph" w:styleId="Revision">
    <w:name w:val="Revision"/>
    <w:hidden/>
    <w:uiPriority w:val="99"/>
    <w:semiHidden/>
    <w:rsid w:val="005F0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ferinterne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2022-07-11T09:40:00Z</dcterms:created>
  <dcterms:modified xsi:type="dcterms:W3CDTF">2022-07-11T09:40:00Z</dcterms:modified>
</cp:coreProperties>
</file>